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margin" w:tblpY="-1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1"/>
        <w:gridCol w:w="1335"/>
        <w:gridCol w:w="2866"/>
        <w:gridCol w:w="1919"/>
      </w:tblGrid>
      <w:tr w:rsidR="004D71FB" w:rsidTr="00063DDC">
        <w:trPr>
          <w:trHeight w:val="547"/>
        </w:trPr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>
            <w:pPr>
              <w:jc w:val="center"/>
            </w:pPr>
            <w:r>
              <w:t>муниципальное бюджетное общеобразовательное учреждение</w:t>
            </w:r>
          </w:p>
          <w:p w:rsidR="004D71FB" w:rsidRDefault="004D71FB" w:rsidP="004D71FB">
            <w:pPr>
              <w:jc w:val="center"/>
            </w:pPr>
            <w:r>
              <w:t>« Селивановская средняя  школа №28 – Центр образования с.Селиваново»</w:t>
            </w:r>
          </w:p>
          <w:p w:rsidR="004D71FB" w:rsidRDefault="004D71FB" w:rsidP="004D71FB"/>
          <w:p w:rsidR="004D71FB" w:rsidRDefault="004D71FB" w:rsidP="004D71FB"/>
        </w:tc>
      </w:tr>
      <w:tr w:rsidR="004D71FB" w:rsidTr="00063DDC">
        <w:tc>
          <w:tcPr>
            <w:tcW w:w="3451" w:type="dxa"/>
            <w:vMerge w:val="restart"/>
          </w:tcPr>
          <w:p w:rsidR="004D71FB" w:rsidRPr="0079567D" w:rsidRDefault="004D71FB" w:rsidP="004D71FB">
            <w:proofErr w:type="gramStart"/>
            <w:r w:rsidRPr="0079567D">
              <w:t>Принята</w:t>
            </w:r>
            <w:proofErr w:type="gramEnd"/>
            <w:r w:rsidRPr="0079567D">
              <w:t xml:space="preserve"> решением </w:t>
            </w:r>
            <w:r>
              <w:t xml:space="preserve"> </w:t>
            </w:r>
            <w:r w:rsidR="000B23FD">
              <w:t>педагогического совета  школы 28</w:t>
            </w:r>
            <w:r>
              <w:t>.08.2020</w:t>
            </w:r>
            <w:r w:rsidRPr="0079567D">
              <w:t xml:space="preserve">г., </w:t>
            </w:r>
            <w:r>
              <w:t xml:space="preserve"> </w:t>
            </w:r>
            <w:r w:rsidRPr="0079567D">
              <w:t>про</w:t>
            </w:r>
            <w:r>
              <w:t>токол №1</w:t>
            </w:r>
          </w:p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>
              <w:t xml:space="preserve">           УТВЕРЖДАЮ</w:t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063DDC">
        <w:tc>
          <w:tcPr>
            <w:tcW w:w="3451" w:type="dxa"/>
            <w:vMerge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>
            <w:r>
              <w:t>Директор</w:t>
            </w:r>
          </w:p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 w:rsidRPr="004D71FB">
              <w:rPr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6" name="Рисунок 1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>
            <w:r>
              <w:t>А.А. Наумов</w:t>
            </w:r>
          </w:p>
        </w:tc>
      </w:tr>
      <w:tr w:rsidR="004D71FB" w:rsidTr="00063DDC">
        <w:tc>
          <w:tcPr>
            <w:tcW w:w="3451" w:type="dxa"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0B23FD" w:rsidP="004D71FB">
            <w:r>
              <w:t xml:space="preserve">                 28</w:t>
            </w:r>
            <w:r w:rsidR="004D71FB">
              <w:t>.08.2020г.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063DDC"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Pr="001E5A0E" w:rsidRDefault="001E5A0E" w:rsidP="001E5A0E">
            <w:pPr>
              <w:jc w:val="center"/>
              <w:rPr>
                <w:sz w:val="72"/>
                <w:szCs w:val="72"/>
              </w:rPr>
            </w:pPr>
            <w:proofErr w:type="gramStart"/>
            <w:r w:rsidRPr="001E5A0E">
              <w:rPr>
                <w:sz w:val="72"/>
                <w:szCs w:val="72"/>
              </w:rPr>
              <w:t>Контроль за</w:t>
            </w:r>
            <w:proofErr w:type="gramEnd"/>
            <w:r w:rsidRPr="001E5A0E">
              <w:rPr>
                <w:sz w:val="72"/>
                <w:szCs w:val="72"/>
              </w:rPr>
              <w:t xml:space="preserve"> состоянием системы условий</w:t>
            </w:r>
          </w:p>
          <w:p w:rsidR="004D71FB" w:rsidRDefault="004D71FB" w:rsidP="001E5A0E"/>
        </w:tc>
      </w:tr>
      <w:tr w:rsidR="004D71FB" w:rsidTr="00063DDC"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063DDC">
        <w:tc>
          <w:tcPr>
            <w:tcW w:w="9571" w:type="dxa"/>
            <w:gridSpan w:val="4"/>
          </w:tcPr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  <w:r>
              <w:t>с. Селиваново, Щекинский район</w:t>
            </w:r>
          </w:p>
          <w:p w:rsidR="004D71FB" w:rsidRPr="002A5C9A" w:rsidRDefault="004D71FB" w:rsidP="004D71FB">
            <w:pPr>
              <w:jc w:val="center"/>
              <w:rPr>
                <w:sz w:val="24"/>
                <w:szCs w:val="24"/>
              </w:rPr>
            </w:pPr>
          </w:p>
        </w:tc>
      </w:tr>
      <w:tr w:rsidR="004D71FB" w:rsidTr="00063DDC">
        <w:tc>
          <w:tcPr>
            <w:tcW w:w="9571" w:type="dxa"/>
            <w:gridSpan w:val="4"/>
          </w:tcPr>
          <w:p w:rsidR="004D71FB" w:rsidRPr="00F61339" w:rsidRDefault="004D71FB" w:rsidP="004D71FB">
            <w:pPr>
              <w:jc w:val="center"/>
            </w:pPr>
            <w:r>
              <w:t>2020г.</w:t>
            </w:r>
          </w:p>
        </w:tc>
      </w:tr>
    </w:tbl>
    <w:p w:rsidR="004D71FB" w:rsidRDefault="004D71FB"/>
    <w:p w:rsidR="00710A05" w:rsidRDefault="00710A05"/>
    <w:p w:rsidR="00710A05" w:rsidRDefault="00710A05"/>
    <w:p w:rsidR="00710A05" w:rsidRDefault="00710A05"/>
    <w:p w:rsidR="00710A05" w:rsidRDefault="00710A05"/>
    <w:p w:rsidR="000B23FD" w:rsidRDefault="002D48F7" w:rsidP="000B23FD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III.7</w:t>
      </w:r>
      <w:r w:rsidR="000B23FD">
        <w:rPr>
          <w:b/>
          <w:bCs/>
          <w:sz w:val="23"/>
          <w:szCs w:val="23"/>
        </w:rPr>
        <w:t xml:space="preserve">. </w:t>
      </w:r>
      <w:proofErr w:type="gramStart"/>
      <w:r w:rsidR="000B23FD">
        <w:rPr>
          <w:b/>
          <w:bCs/>
          <w:sz w:val="23"/>
          <w:szCs w:val="23"/>
        </w:rPr>
        <w:t>Контроль за</w:t>
      </w:r>
      <w:proofErr w:type="gramEnd"/>
      <w:r w:rsidR="000B23FD">
        <w:rPr>
          <w:b/>
          <w:bCs/>
          <w:sz w:val="23"/>
          <w:szCs w:val="23"/>
        </w:rPr>
        <w:t xml:space="preserve"> состоянием системы условий реализации ООП СОО </w:t>
      </w:r>
    </w:p>
    <w:p w:rsidR="000B23FD" w:rsidRDefault="000B23FD" w:rsidP="000B23FD">
      <w:pPr>
        <w:pStyle w:val="Default"/>
        <w:rPr>
          <w:b/>
          <w:bCs/>
          <w:sz w:val="23"/>
          <w:szCs w:val="23"/>
        </w:rPr>
      </w:pPr>
    </w:p>
    <w:p w:rsidR="000B23FD" w:rsidRDefault="000B23FD" w:rsidP="000B23FD">
      <w:pPr>
        <w:pStyle w:val="Default"/>
        <w:rPr>
          <w:b/>
          <w:bCs/>
          <w:sz w:val="23"/>
          <w:szCs w:val="23"/>
        </w:rPr>
      </w:pPr>
    </w:p>
    <w:p w:rsidR="000B23FD" w:rsidRDefault="000B23FD" w:rsidP="000B23FD">
      <w:pPr>
        <w:pStyle w:val="Default"/>
        <w:rPr>
          <w:b/>
          <w:bCs/>
          <w:sz w:val="23"/>
          <w:szCs w:val="23"/>
        </w:rPr>
      </w:pPr>
      <w:r>
        <w:rPr>
          <w:sz w:val="23"/>
          <w:szCs w:val="23"/>
        </w:rPr>
        <w:t>проводится путем мониторинга с целью эффективного управления процессом ее реализации. Оценке обязательно подлежат: кадровые, психолого-педагогические, финансовые, материально-технические условия, учебно-методическое и информационное обеспечение; деятельность педагогов в реализации психолого-педагогических условий; условий (ресурсов) МБОУ СОШ №6. Для такой оценки используется определенный набор показателей и индикаторов, а также экспертиза образовательных и учебных программ, проектов, пособий, образовательной среды, профессиональной деятельности специалистов:</w:t>
      </w:r>
    </w:p>
    <w:p w:rsidR="000B23FD" w:rsidRDefault="000B23FD" w:rsidP="000B23FD">
      <w:pPr>
        <w:pStyle w:val="Default"/>
        <w:rPr>
          <w:sz w:val="23"/>
          <w:szCs w:val="23"/>
        </w:rPr>
      </w:pPr>
    </w:p>
    <w:tbl>
      <w:tblPr>
        <w:tblW w:w="914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574"/>
        <w:gridCol w:w="4575"/>
      </w:tblGrid>
      <w:tr w:rsidR="000B23FD" w:rsidTr="000B23FD">
        <w:trPr>
          <w:trHeight w:val="102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</w:t>
            </w:r>
            <w:r>
              <w:rPr>
                <w:b/>
                <w:bCs/>
                <w:sz w:val="23"/>
                <w:szCs w:val="23"/>
              </w:rPr>
              <w:t xml:space="preserve">Объект контроля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Критерии оценки, измерители, показатели </w:t>
            </w:r>
          </w:p>
        </w:tc>
      </w:tr>
      <w:tr w:rsidR="000B23FD" w:rsidTr="000B23FD">
        <w:trPr>
          <w:trHeight w:val="102"/>
        </w:trPr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Кадровые условия</w:t>
            </w:r>
          </w:p>
        </w:tc>
      </w:tr>
      <w:tr w:rsidR="000B23FD" w:rsidTr="000B23FD">
        <w:trPr>
          <w:trHeight w:val="1680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Качество кадрового обеспечения реализации ФГОС СОО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color w:val="auto"/>
              </w:rPr>
            </w:pP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обеспечение оптимального вхождения работников образования в систему ценностей современного образования;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принятие идеологии ФГОС СОО;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освоение новой системы требований к структуре ООП СОО, результатам её освоения и условиям реализации, а также системы оценки итогов образовательной деятельности обучающихся;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овладение учебно-методическими и информационно-методическими ресурсами, необходимыми для успешного решения задач ФГОС СОО. </w:t>
            </w:r>
          </w:p>
        </w:tc>
      </w:tr>
      <w:tr w:rsidR="000B23FD" w:rsidTr="000B23FD">
        <w:trPr>
          <w:trHeight w:val="2469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Исполнение плана-графика повышения квалификации педагогических и руководящих работников в связи с реализацией ФГОС СОО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color w:val="auto"/>
              </w:rPr>
            </w:pP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семинар, посвящённый содержанию и ключевым особенностям ФГОС СОО – не менее 1 в течение учебного года;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тренинги для педагогов с целью выявления и соотнесения собственной профессиональной позиции с целями и задачами ФГОС СОО – не менее 2 в течение учебного года;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заседания методических объединений учителей, по проблемам ведения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ФГОС СОО – не менее 2 в течение учебного года;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участие педагогов в разработке разделов и компонентов ООП СОО – по мере необходимости;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участие педагогов в разработке и апробации оценки эффективности работы в условиях реализации ФГОС СОО и новой системы оплаты труда – в течение учебного года по плану методической работы;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участие педагогов в проведении мастер-</w:t>
            </w:r>
          </w:p>
        </w:tc>
      </w:tr>
      <w:tr w:rsidR="000B23FD" w:rsidTr="000B23FD">
        <w:trPr>
          <w:trHeight w:val="1549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классов, круглых столов, «открытых» уроков, внеурочных занятий и мероприятий по отдельным направлениям введения и реализации ФГОС СОО – в течение учебного года по плану методической работы </w:t>
            </w:r>
          </w:p>
          <w:p w:rsidR="000B23FD" w:rsidRDefault="000B23FD" w:rsidP="000B23FD">
            <w:pPr>
              <w:pStyle w:val="Default"/>
              <w:rPr>
                <w:color w:val="auto"/>
              </w:rPr>
            </w:pPr>
          </w:p>
        </w:tc>
      </w:tr>
      <w:tr w:rsidR="000B23FD" w:rsidTr="000B23FD">
        <w:trPr>
          <w:trHeight w:val="2469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Реализация плана методической работы, в том числе, </w:t>
            </w:r>
            <w:proofErr w:type="spellStart"/>
            <w:r>
              <w:rPr>
                <w:sz w:val="23"/>
                <w:szCs w:val="23"/>
              </w:rPr>
              <w:t>внутришкольного</w:t>
            </w:r>
            <w:proofErr w:type="spellEnd"/>
            <w:r>
              <w:rPr>
                <w:sz w:val="23"/>
                <w:szCs w:val="23"/>
              </w:rPr>
              <w:t xml:space="preserve"> повышения квалификации с ориентацией на проблемы реализации ФГОС СОО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color w:val="auto"/>
              </w:rPr>
            </w:pPr>
            <w:r>
              <w:rPr>
                <w:sz w:val="23"/>
                <w:szCs w:val="23"/>
              </w:rPr>
              <w:t>Проведение 90 % запланированных мероприятий, с возможной коррекцией по мере появления необходимости.</w:t>
            </w:r>
          </w:p>
        </w:tc>
      </w:tr>
      <w:tr w:rsidR="000B23FD" w:rsidTr="000B23FD">
        <w:trPr>
          <w:trHeight w:val="427"/>
        </w:trPr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Психолого-педагогические условия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</w:tr>
      <w:tr w:rsidR="000B23FD" w:rsidTr="000B23FD">
        <w:trPr>
          <w:trHeight w:val="2469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Качество координации деятельности субъектов образовательного процесса, организационных структур по реализации ФГОС СОО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Pr="006C19C2" w:rsidRDefault="000B23FD" w:rsidP="000B23FD">
            <w:pPr>
              <w:pStyle w:val="Default"/>
              <w:rPr>
                <w:sz w:val="23"/>
                <w:szCs w:val="23"/>
              </w:rPr>
            </w:pP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качество ООП СОО (структура программы, содержание и механизмы ее реализации);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качество управления образовательным процессом (состав и структура ВШСОКО, качество процесса реализации ВШСОКО как ресурса управления);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компетентность субъектов управления (уровень управленческой компетентности администраторов)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</w:tr>
      <w:tr w:rsidR="000B23FD" w:rsidTr="000B23FD">
        <w:trPr>
          <w:trHeight w:val="935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Наличие модели организации образовательного процесса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Эффективность реализации вертикальных и горизонтальных связей профессионального педагогического взаимодействия </w:t>
            </w:r>
          </w:p>
        </w:tc>
      </w:tr>
      <w:tr w:rsidR="000B23FD" w:rsidTr="000B23FD">
        <w:trPr>
          <w:trHeight w:val="848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Качество реализации моделей, обеспечивающих организацию внеурочной деятельности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программ внеурочной деятельности по различным направлениям и видам деятельности </w:t>
            </w:r>
          </w:p>
        </w:tc>
      </w:tr>
      <w:tr w:rsidR="000B23FD" w:rsidTr="000B23FD">
        <w:trPr>
          <w:trHeight w:val="1832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Качество реализации системы мониторинга образовательных потребностей обучающихся и родителей по использованию часов части, формируемой участниками образовательных отношений, и внеурочной деятельности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учебного плана и плана внеурочной деятельности на </w:t>
            </w:r>
            <w:proofErr w:type="gramStart"/>
            <w:r>
              <w:rPr>
                <w:sz w:val="23"/>
                <w:szCs w:val="23"/>
              </w:rPr>
              <w:t>учебный</w:t>
            </w:r>
            <w:proofErr w:type="gramEnd"/>
            <w:r>
              <w:rPr>
                <w:sz w:val="23"/>
                <w:szCs w:val="23"/>
              </w:rPr>
              <w:t xml:space="preserve"> год </w:t>
            </w:r>
          </w:p>
        </w:tc>
      </w:tr>
      <w:tr w:rsidR="000B23FD" w:rsidTr="000B23FD">
        <w:trPr>
          <w:trHeight w:val="916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Привлечение органов государственно-общественного управления к проектированию ООП СОО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Соответствие ООП СОО критериям оценки по разделам</w:t>
            </w:r>
          </w:p>
        </w:tc>
      </w:tr>
      <w:tr w:rsidR="000B23FD" w:rsidTr="000B23FD">
        <w:trPr>
          <w:trHeight w:val="475"/>
        </w:trPr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Финансовые условия</w:t>
            </w:r>
          </w:p>
        </w:tc>
      </w:tr>
      <w:tr w:rsidR="000B23FD" w:rsidTr="000B23FD">
        <w:trPr>
          <w:trHeight w:val="916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Определение объёма расходов, необходимых для реализации ООП СОО и достижения планируемых результатов, а также механизма их формирования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color w:val="auto"/>
              </w:rPr>
            </w:pP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дифференцированный рост заработной платы учителей, создание механизма связи заработной платы с качеством </w:t>
            </w:r>
            <w:proofErr w:type="spellStart"/>
            <w:proofErr w:type="gramStart"/>
            <w:r>
              <w:rPr>
                <w:sz w:val="23"/>
                <w:szCs w:val="23"/>
              </w:rPr>
              <w:t>психолого</w:t>
            </w:r>
            <w:proofErr w:type="spellEnd"/>
            <w:r>
              <w:rPr>
                <w:sz w:val="23"/>
                <w:szCs w:val="23"/>
              </w:rPr>
              <w:t>- педагогических</w:t>
            </w:r>
            <w:proofErr w:type="gramEnd"/>
            <w:r>
              <w:rPr>
                <w:sz w:val="23"/>
                <w:szCs w:val="23"/>
              </w:rPr>
              <w:t xml:space="preserve">, материально-технических, </w:t>
            </w:r>
            <w:r>
              <w:rPr>
                <w:sz w:val="23"/>
                <w:szCs w:val="23"/>
              </w:rPr>
              <w:lastRenderedPageBreak/>
              <w:t xml:space="preserve">учебно-методических и информационных условий и результативностью их труда; </w:t>
            </w:r>
          </w:p>
          <w:p w:rsidR="000B23FD" w:rsidRDefault="000B23FD" w:rsidP="000B23FD">
            <w:pPr>
              <w:pStyle w:val="Default"/>
              <w:rPr>
                <w:color w:val="auto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допустимый рост в общем фонде оплаты труда объема стимулирующих выплат, распределяемых на основании оценки качества и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результативности труда работников и не являющихся компенсационными выплатами;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наличие механизма учета в оплате труда всех видов деятельности учителей (аудиторная нагрузка, внеурочная работа по предмету, классное руководство, проверка тетрадей, подготовка к урокам и другим видам занятий, консультации и дополнительные занятия с обучающимися, другие виды деятельности, определенные должностными обязанностями);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органов самоуправления в распределении стимулирующей части фонда оплаты труда.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</w:tr>
      <w:tr w:rsidR="000B23FD" w:rsidTr="000B23FD">
        <w:trPr>
          <w:trHeight w:val="916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2. Наличие локальных актов (внесение изменений в них), регламентирующих установление заработной платы работников МБОУ СОШ № 6, в том числе стимулирующих надбавок и доплат, порядка и размеров премирования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Повышение стимулирующих функций оплаты труда, нацеливающих работников на достижение высоких результатов (показателей качества работы) </w:t>
            </w:r>
          </w:p>
        </w:tc>
      </w:tr>
      <w:tr w:rsidR="000B23FD" w:rsidTr="000B23FD">
        <w:trPr>
          <w:trHeight w:val="916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Наличие дополнительных соглашений к трудовому договору с педагогическими работниками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Соответствие документов требованиям ТК РФ </w:t>
            </w:r>
          </w:p>
        </w:tc>
      </w:tr>
      <w:tr w:rsidR="000B23FD" w:rsidTr="000B23FD">
        <w:trPr>
          <w:trHeight w:val="371"/>
        </w:trPr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Материально-технические условия</w:t>
            </w:r>
          </w:p>
        </w:tc>
      </w:tr>
      <w:tr w:rsidR="000B23FD" w:rsidTr="000B23FD">
        <w:trPr>
          <w:trHeight w:val="419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Компоненты оснащения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Необходимое оборудование и оснащение </w:t>
            </w:r>
          </w:p>
        </w:tc>
      </w:tr>
      <w:tr w:rsidR="000B23FD" w:rsidTr="000B23FD">
        <w:trPr>
          <w:trHeight w:val="916"/>
        </w:trPr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Компоненты оснащения школы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1.1. Учебные кабинеты с автоматизированными рабочими местами обучающихся и педагогических работников </w:t>
            </w:r>
          </w:p>
        </w:tc>
      </w:tr>
      <w:tr w:rsidR="000B23FD" w:rsidTr="000B23FD">
        <w:trPr>
          <w:trHeight w:val="916"/>
        </w:trPr>
        <w:tc>
          <w:tcPr>
            <w:tcW w:w="4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1.2. Помещения для занятий учебно-исследовательской и проектной деятельностью </w:t>
            </w:r>
          </w:p>
        </w:tc>
      </w:tr>
      <w:tr w:rsidR="000B23FD" w:rsidTr="000B23FD">
        <w:trPr>
          <w:trHeight w:val="916"/>
        </w:trPr>
        <w:tc>
          <w:tcPr>
            <w:tcW w:w="4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1.3. Необходимые для реализации учебной и внеурочной деятельности учебные кабинеты </w:t>
            </w:r>
          </w:p>
        </w:tc>
      </w:tr>
      <w:tr w:rsidR="000B23FD" w:rsidTr="000B23FD">
        <w:trPr>
          <w:trHeight w:val="337"/>
        </w:trPr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Компоненты оснащения учебных кабинетов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2.1. Нормативные документы, локальные акты </w:t>
            </w:r>
          </w:p>
        </w:tc>
      </w:tr>
      <w:tr w:rsidR="000B23FD" w:rsidTr="000B23FD">
        <w:trPr>
          <w:trHeight w:val="916"/>
        </w:trPr>
        <w:tc>
          <w:tcPr>
            <w:tcW w:w="4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2.2. Учебники, учебные пособия, учебно-методические материалы по предметам начального общего образования </w:t>
            </w:r>
          </w:p>
        </w:tc>
      </w:tr>
      <w:tr w:rsidR="000B23FD" w:rsidTr="000B23FD">
        <w:trPr>
          <w:trHeight w:val="342"/>
        </w:trPr>
        <w:tc>
          <w:tcPr>
            <w:tcW w:w="4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2.3. УМК по предметам основного общего образования </w:t>
            </w:r>
          </w:p>
        </w:tc>
      </w:tr>
      <w:tr w:rsidR="000B23FD" w:rsidTr="000B23FD">
        <w:trPr>
          <w:trHeight w:val="235"/>
        </w:trPr>
        <w:tc>
          <w:tcPr>
            <w:tcW w:w="4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2.4. Учебное оборудование </w:t>
            </w:r>
          </w:p>
        </w:tc>
      </w:tr>
      <w:tr w:rsidR="000B23FD" w:rsidTr="000B23FD">
        <w:trPr>
          <w:trHeight w:val="226"/>
        </w:trPr>
        <w:tc>
          <w:tcPr>
            <w:tcW w:w="4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2.5. Учебная мебель </w:t>
            </w:r>
          </w:p>
        </w:tc>
      </w:tr>
      <w:tr w:rsidR="000B23FD" w:rsidTr="000B23FD">
        <w:trPr>
          <w:trHeight w:val="916"/>
        </w:trPr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Компоненты оснащения методического кабинета школы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3.1. Нормативные документы федерального, регионального и муниципального уровней, локальные акты школы </w:t>
            </w:r>
          </w:p>
        </w:tc>
      </w:tr>
      <w:tr w:rsidR="000B23FD" w:rsidTr="000B23FD">
        <w:trPr>
          <w:trHeight w:val="316"/>
        </w:trPr>
        <w:tc>
          <w:tcPr>
            <w:tcW w:w="4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3.2. Документация </w:t>
            </w:r>
          </w:p>
        </w:tc>
      </w:tr>
      <w:tr w:rsidR="000B23FD" w:rsidTr="000B23FD">
        <w:trPr>
          <w:trHeight w:val="916"/>
        </w:trPr>
        <w:tc>
          <w:tcPr>
            <w:tcW w:w="4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3.3. Комплекты диагностических материалов по предметам основного общего образования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3.4. Базы данных обучающихся и педагогов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Компоненты оснащения спортивного зала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4.1. Нормативные документы, программно-методическое обеспечение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4.2. Игровой спортивный инвентарь; оборудование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 Компоненты оснащения компьютерного класса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5.1. Нормативные документы, программно-методическое обеспечение, локальные акты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5.2. Учебно-методические материалы по предмету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5.3. УМК по предмету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5.4. Учебное оборудование, учебная мебель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 Компоненты оснащения медицинского кабинета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6.1. Оснащенность по профилю деятельности.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6.2. Оборудование, мебель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 Компоненты оснащения школьной столовой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7.1. Оснащенность по профилю деятельности.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7.2. Оборудование, мебель</w:t>
            </w:r>
          </w:p>
        </w:tc>
      </w:tr>
      <w:tr w:rsidR="000B23FD" w:rsidTr="000B23FD">
        <w:trPr>
          <w:trHeight w:val="333"/>
        </w:trPr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                      Информационно-методические условия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Качество информационных материалов о реализации ФГОС СОО, размещённых на сайте школы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и полнота информации по направлениям: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нормативное обеспечение реализации ФГОС СОО;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организационное обеспечение реализации ФГОС СОО;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</w:tr>
      <w:tr w:rsidR="000B23FD" w:rsidTr="000B23FD">
        <w:trPr>
          <w:trHeight w:val="333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Качество информирования родительской общественности о реализации ФГОС СОО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Информация размещена на сайте, разработаны информационные буклеты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Учёт общественного мнения по вопросам реализации ФГОС СОО и внесения дополнений в содержание ООП СОО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Внесение изменений в ООП СОО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Качество публичной отчётности школы о ходе и результатах реализации ФГОС СОО </w:t>
            </w: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и своевременность размещения на официальном сайте школы результатов самообследования по итогам деятельности за </w:t>
            </w:r>
            <w:proofErr w:type="gramStart"/>
            <w:r>
              <w:rPr>
                <w:sz w:val="23"/>
                <w:szCs w:val="23"/>
              </w:rPr>
              <w:t>учебный</w:t>
            </w:r>
            <w:proofErr w:type="gramEnd"/>
            <w:r>
              <w:rPr>
                <w:sz w:val="23"/>
                <w:szCs w:val="23"/>
              </w:rPr>
              <w:t xml:space="preserve"> год </w:t>
            </w:r>
          </w:p>
        </w:tc>
      </w:tr>
      <w:tr w:rsidR="000B23FD" w:rsidTr="000B23FD">
        <w:trPr>
          <w:trHeight w:val="333"/>
        </w:trPr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Наличие рекомендаций для педагогических работников: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по организации внеурочной деятельности обучающихся;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по организации текущей и итоговой оценки достижения планируемых результатов;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по использованию ресурсов времени для </w:t>
            </w:r>
            <w:r>
              <w:rPr>
                <w:sz w:val="23"/>
                <w:szCs w:val="23"/>
              </w:rPr>
              <w:lastRenderedPageBreak/>
              <w:t xml:space="preserve">организации домашней работы обучающихся;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rFonts w:ascii="Cambria Math" w:hAnsi="Cambria Math" w:cs="Cambria Math"/>
                <w:sz w:val="23"/>
                <w:szCs w:val="23"/>
              </w:rPr>
              <w:t>‒</w:t>
            </w:r>
            <w:r>
              <w:rPr>
                <w:sz w:val="23"/>
                <w:szCs w:val="23"/>
              </w:rPr>
              <w:t xml:space="preserve"> по перечню и методике использования интерактивных технологий на уроках </w:t>
            </w:r>
          </w:p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4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3FD" w:rsidRDefault="000B23FD" w:rsidP="000B23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Рекомендации разработаны, обсуждены на заседаниях методических объединений учителей предметников </w:t>
            </w:r>
          </w:p>
        </w:tc>
      </w:tr>
    </w:tbl>
    <w:p w:rsidR="000B23FD" w:rsidRPr="00EF5216" w:rsidRDefault="000B23FD" w:rsidP="000B23FD">
      <w:pPr>
        <w:pStyle w:val="Default"/>
        <w:jc w:val="both"/>
      </w:pPr>
      <w:r>
        <w:lastRenderedPageBreak/>
        <w:tab/>
      </w:r>
      <w:r w:rsidRPr="00EF5216">
        <w:t xml:space="preserve"> Мониторинг в рамках ВШСОКО позволяет оценить ход реализации ООП СОО, увидеть отклонения от запланированных результатов, внести необходимые коррективы в реализацию программы и в конечном итоге достигнуть необходимых результатов.</w:t>
      </w:r>
    </w:p>
    <w:p w:rsidR="000B23FD" w:rsidRPr="00EF5216" w:rsidRDefault="000B23FD" w:rsidP="000B23FD">
      <w:pPr>
        <w:pStyle w:val="Default"/>
        <w:jc w:val="both"/>
      </w:pPr>
    </w:p>
    <w:p w:rsidR="000B23FD" w:rsidRPr="00EF5216" w:rsidRDefault="000B23FD" w:rsidP="000B23FD">
      <w:pPr>
        <w:jc w:val="both"/>
        <w:rPr>
          <w:rFonts w:ascii="Times New Roman" w:hAnsi="Times New Roman" w:cs="Times New Roman"/>
          <w:sz w:val="24"/>
          <w:szCs w:val="24"/>
        </w:rPr>
      </w:pPr>
      <w:r w:rsidRPr="00EF5216">
        <w:rPr>
          <w:rFonts w:ascii="Times New Roman" w:hAnsi="Times New Roman" w:cs="Times New Roman"/>
          <w:sz w:val="24"/>
          <w:szCs w:val="24"/>
        </w:rPr>
        <w:t xml:space="preserve">Мониторинг образовательной деятельности включает следующие направления: мониторинг состояния и качества функционирования образовательной системы; мониторинг учебных достижений учащихся; мониторинг физического развития и состояния здоровья учащихся; мониторинг воспитательной системы; мониторинг педагогических кадров; мониторинг ресурсного обеспечения образовательной деятельности; мониторинг изменений в образовательной деятельности. </w:t>
      </w:r>
    </w:p>
    <w:p w:rsidR="000B23FD" w:rsidRPr="00EF5216" w:rsidRDefault="000B23FD" w:rsidP="000B23FD">
      <w:pPr>
        <w:pStyle w:val="Default"/>
        <w:jc w:val="both"/>
      </w:pPr>
      <w:r w:rsidRPr="00EF5216">
        <w:t>Мониторинг состояния и качества функционирования образовательной системы включает следующее: анализ работы (годовой план); выполнение учебных программ, учебного плана; организация ВШСОКО по результатам промежуточной аттестации; система методической работы; система работы МО; система работы школьной библиотеки; система воспитательной работы; система работы по обеспечению жизнедеятельности школы (безопасность, сохранение и поддержание здоровья); социологические исследования на удовлетворенность родителей (законных представителей) и учащихся условиями организации образовательной деятельности в учреждении; организация внеурочной деятельности учащихся; количество обращений родителей (законных представителей) и учащихся по вопросам функционирования Школы</w:t>
      </w:r>
      <w:proofErr w:type="gramStart"/>
      <w:r w:rsidRPr="00EF5216">
        <w:t xml:space="preserve">.. </w:t>
      </w:r>
      <w:proofErr w:type="gramEnd"/>
    </w:p>
    <w:p w:rsidR="000B23FD" w:rsidRPr="00EF5216" w:rsidRDefault="000B23FD" w:rsidP="000B23FD">
      <w:pPr>
        <w:pStyle w:val="Default"/>
        <w:jc w:val="both"/>
      </w:pPr>
      <w:r w:rsidRPr="00EF5216">
        <w:t>Мониторинг предметных достижений учащихся: результаты текущего контроля успеваемости и промежуточной аттестации учащихся; качество знаний по предметам (по четвертям, за год); уровень социально-психологической адаптации личности; достижения учащихся в различных сферах деятельности (</w:t>
      </w:r>
      <w:proofErr w:type="spellStart"/>
      <w:r w:rsidRPr="00EF5216">
        <w:t>портфолио</w:t>
      </w:r>
      <w:proofErr w:type="spellEnd"/>
      <w:r w:rsidRPr="00EF5216">
        <w:t xml:space="preserve"> учащегося). </w:t>
      </w:r>
    </w:p>
    <w:p w:rsidR="000B23FD" w:rsidRPr="00EF5216" w:rsidRDefault="000B23FD" w:rsidP="000B23FD">
      <w:pPr>
        <w:pStyle w:val="Default"/>
        <w:jc w:val="both"/>
      </w:pPr>
      <w:r w:rsidRPr="00EF5216">
        <w:t xml:space="preserve">Мониторинг физического развития и состояния здоровья учащихся: распределение учащихся по группам здоровья; количество дней/уроков, пропущенных по болезни; занятость учащихся в спортивных секциях; организация мероприятий, направленных на совершенствование физического развития и поддержания здоровья учащихся. </w:t>
      </w:r>
    </w:p>
    <w:p w:rsidR="000B23FD" w:rsidRPr="00EF5216" w:rsidRDefault="000B23FD" w:rsidP="000B23FD">
      <w:pPr>
        <w:pStyle w:val="Default"/>
        <w:jc w:val="both"/>
      </w:pPr>
      <w:r w:rsidRPr="00EF5216">
        <w:t xml:space="preserve">Мониторинг воспитательной системы: реализация программы воспитания и социализации учащихся на уровне среднего общего образования; уровень развития классных коллективов; занятость в системе дополнительного образования; развитие ученического самоуправления; работа с учащимися, находящимися в трудной жизненной ситуации; уровень воспитанности учащихся. </w:t>
      </w:r>
    </w:p>
    <w:p w:rsidR="000B23FD" w:rsidRPr="00EF5216" w:rsidRDefault="000B23FD" w:rsidP="000B23FD">
      <w:pPr>
        <w:pStyle w:val="Default"/>
        <w:jc w:val="both"/>
      </w:pPr>
      <w:proofErr w:type="gramStart"/>
      <w:r w:rsidRPr="00EF5216">
        <w:t xml:space="preserve">Мониторинг педагогических кадров: повышение квалификации педагогических кадров; участие в реализации проектов Программы развития школы; работа по темам самообразования (результативность); использование образовательных технологий, в т.ч. инновационных; участие в семинарах различного уровня; трансляция собственного педагогического опыта (проведение открытых уроков, мастер-классов, публикации); аттестация педагогических кадров. </w:t>
      </w:r>
      <w:proofErr w:type="gramEnd"/>
    </w:p>
    <w:p w:rsidR="000B23FD" w:rsidRPr="00EF5216" w:rsidRDefault="000B23FD" w:rsidP="000B23FD">
      <w:pPr>
        <w:pStyle w:val="Default"/>
        <w:jc w:val="both"/>
      </w:pPr>
      <w:proofErr w:type="gramStart"/>
      <w:r w:rsidRPr="00EF5216">
        <w:t xml:space="preserve">Мониторинг ресурсного обеспечения образовательной деятельности: кадровое обеспечение (потребность в кадрах; текучесть кадров); учебно-методическое обеспечение: укомплектованность учебных кабинетов дидактическими материалами; содержание </w:t>
      </w:r>
      <w:proofErr w:type="spellStart"/>
      <w:r w:rsidRPr="00EF5216">
        <w:t>медиатеки</w:t>
      </w:r>
      <w:proofErr w:type="spellEnd"/>
      <w:r w:rsidRPr="00EF5216">
        <w:t xml:space="preserve">; материально-техническое обеспечение; оснащение учебной мебелью, демонстрационным оборудованием, компьютерной техникой, наглядными пособиями, аудио и видеотехникой, оргтехникой; комплектование библиотечного фонда. </w:t>
      </w:r>
      <w:proofErr w:type="gramEnd"/>
    </w:p>
    <w:p w:rsidR="004D71FB" w:rsidRDefault="004D71FB"/>
    <w:sectPr w:rsidR="004D71FB" w:rsidSect="006E2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71FB"/>
    <w:rsid w:val="00063DDC"/>
    <w:rsid w:val="000B23FD"/>
    <w:rsid w:val="001E5A0E"/>
    <w:rsid w:val="00293485"/>
    <w:rsid w:val="002D48F7"/>
    <w:rsid w:val="004D71FB"/>
    <w:rsid w:val="005748D9"/>
    <w:rsid w:val="006E20D7"/>
    <w:rsid w:val="00710A05"/>
    <w:rsid w:val="007B6B03"/>
    <w:rsid w:val="007D6852"/>
    <w:rsid w:val="00813EBF"/>
    <w:rsid w:val="00881AF3"/>
    <w:rsid w:val="00C668AA"/>
    <w:rsid w:val="00D245F8"/>
    <w:rsid w:val="00E25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0D7"/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1E5A0E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D71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D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1F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D7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1E5A0E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customStyle="1" w:styleId="Default">
    <w:name w:val="Default"/>
    <w:rsid w:val="000B23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5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6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64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2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11</cp:revision>
  <dcterms:created xsi:type="dcterms:W3CDTF">2019-08-09T13:33:00Z</dcterms:created>
  <dcterms:modified xsi:type="dcterms:W3CDTF">2020-08-13T15:51:00Z</dcterms:modified>
</cp:coreProperties>
</file>